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pPr w:leftFromText="141" w:rightFromText="141" w:vertAnchor="text" w:tblpY="1"/>
        <w:tblOverlap w:val="never"/>
        <w:tblW w:w="2410" w:type="dxa"/>
        <w:tblInd w:w="0" w:type="dxa"/>
        <w:tblLayout w:type="fixed"/>
        <w:tblLook w:val="0000" w:firstRow="0" w:lastRow="0" w:firstColumn="0" w:lastColumn="0" w:noHBand="0" w:noVBand="0"/>
      </w:tblPr>
      <w:tblGrid>
        <w:gridCol w:w="2410"/>
      </w:tblGrid>
      <w:tr w:rsidR="002633AA" w:rsidTr="00350D70">
        <w:trPr>
          <w:cantSplit/>
          <w:trHeight w:val="938"/>
          <w:tblHeader/>
        </w:trPr>
        <w:tc>
          <w:tcPr>
            <w:tcW w:w="2410" w:type="dxa"/>
          </w:tcPr>
          <w:p w:rsidR="002633AA" w:rsidRDefault="002633AA" w:rsidP="00350D70">
            <w:pPr>
              <w:pBdr>
                <w:top w:val="nil"/>
                <w:left w:val="nil"/>
                <w:bottom w:val="nil"/>
                <w:right w:val="nil"/>
                <w:between w:val="nil"/>
              </w:pBdr>
              <w:jc w:val="center"/>
              <w:rPr>
                <w:rFonts w:ascii="Tahoma" w:eastAsia="Tahoma" w:hAnsi="Tahoma" w:cs="Tahoma"/>
                <w:color w:val="000000"/>
                <w:sz w:val="22"/>
                <w:szCs w:val="22"/>
              </w:rPr>
            </w:pPr>
            <w:r>
              <w:rPr>
                <w:rFonts w:ascii="Tahoma" w:eastAsia="Tahoma" w:hAnsi="Tahoma" w:cs="Tahoma"/>
                <w:noProof/>
                <w:color w:val="000000"/>
                <w:sz w:val="22"/>
                <w:szCs w:val="22"/>
                <w:lang w:val="it-IT"/>
              </w:rPr>
              <w:drawing>
                <wp:inline distT="0" distB="0" distL="114300" distR="114300" wp14:anchorId="7A84D78A" wp14:editId="554DCAE8">
                  <wp:extent cx="1219200" cy="12160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219200" cy="1216025"/>
                          </a:xfrm>
                          <a:prstGeom prst="rect">
                            <a:avLst/>
                          </a:prstGeom>
                          <a:ln/>
                        </pic:spPr>
                      </pic:pic>
                    </a:graphicData>
                  </a:graphic>
                </wp:inline>
              </w:drawing>
            </w:r>
          </w:p>
          <w:p w:rsidR="002633AA" w:rsidRPr="00B75477" w:rsidRDefault="002633AA" w:rsidP="00350D70">
            <w:pPr>
              <w:rPr>
                <w:rFonts w:ascii="Tahoma" w:eastAsia="Tahoma" w:hAnsi="Tahoma" w:cs="Tahoma"/>
                <w:sz w:val="22"/>
                <w:szCs w:val="22"/>
              </w:rPr>
            </w:pPr>
          </w:p>
          <w:p w:rsidR="002633AA" w:rsidRPr="00B75477" w:rsidRDefault="00AD23C3" w:rsidP="00F41B4F">
            <w:pPr>
              <w:rPr>
                <w:rFonts w:ascii="Tahoma" w:eastAsia="Tahoma" w:hAnsi="Tahoma" w:cs="Tahoma"/>
                <w:sz w:val="22"/>
                <w:szCs w:val="22"/>
              </w:rPr>
            </w:pPr>
            <w:r>
              <w:rPr>
                <w:rFonts w:ascii="Calibri" w:hAnsi="Calibri" w:cs="Calibri"/>
                <w:bCs/>
                <w:color w:val="000000"/>
                <w:sz w:val="22"/>
                <w:szCs w:val="22"/>
              </w:rPr>
              <w:t>Roma</w:t>
            </w:r>
            <w:r w:rsidR="002958DC" w:rsidRPr="00857DB0">
              <w:rPr>
                <w:rFonts w:ascii="Calibri" w:hAnsi="Calibri" w:cs="Calibri"/>
                <w:bCs/>
                <w:color w:val="000000"/>
                <w:sz w:val="22"/>
                <w:szCs w:val="22"/>
              </w:rPr>
              <w:t xml:space="preserve">, </w:t>
            </w:r>
            <w:r>
              <w:rPr>
                <w:rFonts w:ascii="Calibri" w:hAnsi="Calibri" w:cs="Calibri"/>
                <w:bCs/>
                <w:color w:val="000000"/>
                <w:sz w:val="22"/>
                <w:szCs w:val="22"/>
              </w:rPr>
              <w:t>0</w:t>
            </w:r>
            <w:r w:rsidR="00F41B4F">
              <w:rPr>
                <w:rFonts w:ascii="Calibri" w:hAnsi="Calibri" w:cs="Calibri"/>
                <w:bCs/>
                <w:color w:val="000000"/>
                <w:sz w:val="22"/>
                <w:szCs w:val="22"/>
              </w:rPr>
              <w:t>1</w:t>
            </w:r>
            <w:r>
              <w:rPr>
                <w:rFonts w:ascii="Calibri" w:hAnsi="Calibri" w:cs="Calibri"/>
                <w:bCs/>
                <w:color w:val="000000"/>
                <w:sz w:val="22"/>
                <w:szCs w:val="22"/>
              </w:rPr>
              <w:t>.10.</w:t>
            </w:r>
            <w:r w:rsidR="002958DC">
              <w:rPr>
                <w:rFonts w:ascii="Calibri" w:hAnsi="Calibri" w:cs="Calibri"/>
                <w:bCs/>
                <w:color w:val="000000"/>
                <w:sz w:val="22"/>
                <w:szCs w:val="22"/>
              </w:rPr>
              <w:t>2025</w:t>
            </w:r>
          </w:p>
        </w:tc>
      </w:tr>
    </w:tbl>
    <w:p w:rsidR="00477900" w:rsidRDefault="00820D30" w:rsidP="0079644B">
      <w:pPr>
        <w:pBdr>
          <w:top w:val="nil"/>
          <w:left w:val="nil"/>
          <w:bottom w:val="nil"/>
          <w:right w:val="nil"/>
          <w:between w:val="nil"/>
        </w:pBdr>
        <w:jc w:val="both"/>
        <w:rPr>
          <w:rFonts w:ascii="Verdana" w:hAnsi="Verdana" w:cs="Tahoma"/>
          <w:b/>
        </w:rPr>
      </w:pPr>
      <w:r>
        <w:rPr>
          <w:rFonts w:ascii="Verdana" w:hAnsi="Verdana" w:cs="Tahoma"/>
          <w:b/>
        </w:rPr>
        <w:t xml:space="preserve"> </w:t>
      </w:r>
    </w:p>
    <w:p w:rsidR="00820D30" w:rsidRDefault="00820D30" w:rsidP="0079644B">
      <w:pPr>
        <w:pBdr>
          <w:top w:val="nil"/>
          <w:left w:val="nil"/>
          <w:bottom w:val="nil"/>
          <w:right w:val="nil"/>
          <w:between w:val="nil"/>
        </w:pBdr>
        <w:jc w:val="both"/>
        <w:rPr>
          <w:rFonts w:ascii="Verdana" w:hAnsi="Verdana" w:cs="Tahoma"/>
          <w:b/>
        </w:rPr>
      </w:pPr>
    </w:p>
    <w:p w:rsidR="00820D30" w:rsidRDefault="00820D30" w:rsidP="0079644B">
      <w:pPr>
        <w:pBdr>
          <w:top w:val="nil"/>
          <w:left w:val="nil"/>
          <w:bottom w:val="nil"/>
          <w:right w:val="nil"/>
          <w:between w:val="nil"/>
        </w:pBdr>
        <w:jc w:val="both"/>
        <w:rPr>
          <w:rFonts w:ascii="Verdana" w:hAnsi="Verdana" w:cs="Tahoma"/>
          <w:b/>
        </w:rPr>
      </w:pPr>
    </w:p>
    <w:p w:rsidR="00820D30" w:rsidRDefault="00820D30" w:rsidP="0079644B">
      <w:pPr>
        <w:pBdr>
          <w:top w:val="nil"/>
          <w:left w:val="nil"/>
          <w:bottom w:val="nil"/>
          <w:right w:val="nil"/>
          <w:between w:val="nil"/>
        </w:pBdr>
        <w:jc w:val="both"/>
        <w:rPr>
          <w:rFonts w:ascii="Verdana" w:hAnsi="Verdana" w:cs="Tahoma"/>
          <w:b/>
        </w:rPr>
      </w:pPr>
    </w:p>
    <w:p w:rsidR="00820D30" w:rsidRDefault="00820D30" w:rsidP="0079644B">
      <w:pPr>
        <w:pBdr>
          <w:top w:val="nil"/>
          <w:left w:val="nil"/>
          <w:bottom w:val="nil"/>
          <w:right w:val="nil"/>
          <w:between w:val="nil"/>
        </w:pBdr>
        <w:jc w:val="both"/>
        <w:rPr>
          <w:rFonts w:ascii="Verdana" w:hAnsi="Verdana" w:cs="Tahoma"/>
          <w:b/>
        </w:rPr>
      </w:pPr>
    </w:p>
    <w:p w:rsidR="00820D30" w:rsidRDefault="00820D30" w:rsidP="0079644B">
      <w:pPr>
        <w:pBdr>
          <w:top w:val="nil"/>
          <w:left w:val="nil"/>
          <w:bottom w:val="nil"/>
          <w:right w:val="nil"/>
          <w:between w:val="nil"/>
        </w:pBdr>
        <w:jc w:val="both"/>
        <w:rPr>
          <w:rFonts w:ascii="Verdana" w:hAnsi="Verdana" w:cs="Tahoma"/>
          <w:b/>
        </w:rPr>
      </w:pPr>
    </w:p>
    <w:p w:rsidR="00820D30" w:rsidRDefault="00820D30" w:rsidP="0079644B">
      <w:pPr>
        <w:pBdr>
          <w:top w:val="nil"/>
          <w:left w:val="nil"/>
          <w:bottom w:val="nil"/>
          <w:right w:val="nil"/>
          <w:between w:val="nil"/>
        </w:pBdr>
        <w:jc w:val="both"/>
        <w:rPr>
          <w:rFonts w:ascii="Verdana" w:hAnsi="Verdana" w:cs="Tahoma"/>
          <w:b/>
        </w:rPr>
      </w:pPr>
    </w:p>
    <w:p w:rsidR="00820D30" w:rsidRDefault="00820D30" w:rsidP="0079644B">
      <w:pPr>
        <w:pBdr>
          <w:top w:val="nil"/>
          <w:left w:val="nil"/>
          <w:bottom w:val="nil"/>
          <w:right w:val="nil"/>
          <w:between w:val="nil"/>
        </w:pBdr>
        <w:jc w:val="both"/>
        <w:rPr>
          <w:rFonts w:ascii="Verdana" w:hAnsi="Verdana" w:cs="Tahoma"/>
          <w:b/>
        </w:rPr>
      </w:pPr>
    </w:p>
    <w:p w:rsidR="00820D30" w:rsidRDefault="00820D30" w:rsidP="0079644B">
      <w:pPr>
        <w:pBdr>
          <w:top w:val="nil"/>
          <w:left w:val="nil"/>
          <w:bottom w:val="nil"/>
          <w:right w:val="nil"/>
          <w:between w:val="nil"/>
        </w:pBdr>
        <w:jc w:val="both"/>
        <w:rPr>
          <w:rFonts w:ascii="Verdana" w:hAnsi="Verdana" w:cs="Tahoma"/>
          <w:b/>
        </w:rPr>
      </w:pPr>
    </w:p>
    <w:p w:rsidR="00820D30" w:rsidRDefault="00820D30" w:rsidP="0079644B">
      <w:pPr>
        <w:pBdr>
          <w:top w:val="nil"/>
          <w:left w:val="nil"/>
          <w:bottom w:val="nil"/>
          <w:right w:val="nil"/>
          <w:between w:val="nil"/>
        </w:pBdr>
        <w:jc w:val="both"/>
        <w:rPr>
          <w:rFonts w:ascii="Verdana" w:hAnsi="Verdana" w:cs="Tahoma"/>
          <w:b/>
        </w:rPr>
      </w:pPr>
    </w:p>
    <w:p w:rsidR="00820D30" w:rsidRDefault="00820D30" w:rsidP="0079644B">
      <w:pPr>
        <w:pBdr>
          <w:top w:val="nil"/>
          <w:left w:val="nil"/>
          <w:bottom w:val="nil"/>
          <w:right w:val="nil"/>
          <w:between w:val="nil"/>
        </w:pBdr>
        <w:jc w:val="both"/>
        <w:rPr>
          <w:rFonts w:ascii="Verdana" w:hAnsi="Verdana" w:cs="Tahoma"/>
          <w:b/>
        </w:rPr>
      </w:pPr>
    </w:p>
    <w:p w:rsidR="00820D30" w:rsidRDefault="00820D30" w:rsidP="0079644B">
      <w:pPr>
        <w:pBdr>
          <w:top w:val="nil"/>
          <w:left w:val="nil"/>
          <w:bottom w:val="nil"/>
          <w:right w:val="nil"/>
          <w:between w:val="nil"/>
        </w:pBdr>
        <w:jc w:val="both"/>
        <w:rPr>
          <w:sz w:val="24"/>
          <w:szCs w:val="24"/>
        </w:rPr>
      </w:pPr>
    </w:p>
    <w:p w:rsidR="002B64F4" w:rsidRDefault="00B75477">
      <w:pPr>
        <w:pBdr>
          <w:top w:val="nil"/>
          <w:left w:val="nil"/>
          <w:bottom w:val="nil"/>
          <w:right w:val="nil"/>
          <w:between w:val="nil"/>
        </w:pBdr>
        <w:jc w:val="both"/>
        <w:rPr>
          <w:rFonts w:ascii="Tahoma" w:eastAsia="Tahoma" w:hAnsi="Tahoma" w:cs="Tahoma"/>
          <w:color w:val="000000"/>
          <w:sz w:val="22"/>
          <w:szCs w:val="22"/>
        </w:rPr>
      </w:pPr>
      <w:r w:rsidRPr="00AC468F">
        <w:rPr>
          <w:sz w:val="24"/>
          <w:szCs w:val="24"/>
        </w:rPr>
        <w:t>Prot.</w:t>
      </w:r>
      <w:r w:rsidR="00985D47">
        <w:rPr>
          <w:sz w:val="24"/>
          <w:szCs w:val="24"/>
        </w:rPr>
        <w:t>N/036</w:t>
      </w:r>
      <w:r w:rsidRPr="00AC468F">
        <w:rPr>
          <w:sz w:val="24"/>
          <w:szCs w:val="24"/>
        </w:rPr>
        <w:t xml:space="preserve"> </w:t>
      </w:r>
    </w:p>
    <w:p w:rsidR="002B64F4" w:rsidRDefault="002B64F4">
      <w:pPr>
        <w:pBdr>
          <w:top w:val="nil"/>
          <w:left w:val="nil"/>
          <w:bottom w:val="nil"/>
          <w:right w:val="nil"/>
          <w:between w:val="nil"/>
        </w:pBdr>
        <w:jc w:val="both"/>
        <w:rPr>
          <w:rFonts w:ascii="Tahoma" w:eastAsia="Tahoma" w:hAnsi="Tahoma" w:cs="Tahoma"/>
          <w:sz w:val="22"/>
          <w:szCs w:val="22"/>
        </w:rPr>
      </w:pPr>
    </w:p>
    <w:p w:rsidR="005D7523" w:rsidRDefault="005D7523" w:rsidP="005D7523">
      <w:pPr>
        <w:widowControl w:val="0"/>
        <w:pBdr>
          <w:top w:val="nil"/>
          <w:left w:val="nil"/>
          <w:bottom w:val="nil"/>
          <w:right w:val="nil"/>
          <w:between w:val="nil"/>
        </w:pBdr>
        <w:jc w:val="both"/>
        <w:rPr>
          <w:rFonts w:ascii="Tahoma" w:eastAsia="Tahoma" w:hAnsi="Tahoma" w:cs="Tahoma"/>
          <w:sz w:val="22"/>
          <w:szCs w:val="22"/>
        </w:rPr>
      </w:pPr>
      <w:r w:rsidRPr="005D7523">
        <w:rPr>
          <w:rFonts w:ascii="Tahoma" w:eastAsia="Tahoma" w:hAnsi="Tahoma" w:cs="Tahoma"/>
          <w:b/>
          <w:sz w:val="22"/>
          <w:szCs w:val="22"/>
        </w:rPr>
        <w:t xml:space="preserve">Oggetto: Proclamazione Sciopero Generale </w:t>
      </w:r>
      <w:bookmarkStart w:id="0" w:name="_GoBack"/>
      <w:bookmarkEnd w:id="0"/>
    </w:p>
    <w:p w:rsidR="005D7523" w:rsidRPr="00BC639F" w:rsidRDefault="005D7523" w:rsidP="005D7523">
      <w:pPr>
        <w:widowControl w:val="0"/>
        <w:pBdr>
          <w:top w:val="nil"/>
          <w:left w:val="nil"/>
          <w:bottom w:val="nil"/>
          <w:right w:val="nil"/>
          <w:between w:val="nil"/>
        </w:pBdr>
        <w:jc w:val="both"/>
        <w:rPr>
          <w:rFonts w:ascii="Tahoma" w:eastAsia="Tahoma" w:hAnsi="Tahoma" w:cs="Tahoma"/>
          <w:sz w:val="22"/>
          <w:szCs w:val="22"/>
        </w:rPr>
      </w:pPr>
    </w:p>
    <w:p w:rsidR="005D7523" w:rsidRDefault="005D7523" w:rsidP="005D7523">
      <w:pPr>
        <w:widowControl w:val="0"/>
        <w:pBdr>
          <w:top w:val="nil"/>
          <w:left w:val="nil"/>
          <w:bottom w:val="nil"/>
          <w:right w:val="nil"/>
          <w:between w:val="nil"/>
        </w:pBdr>
        <w:ind w:firstLine="708"/>
        <w:jc w:val="both"/>
        <w:rPr>
          <w:rFonts w:ascii="Tahoma" w:eastAsia="Tahoma" w:hAnsi="Tahoma" w:cs="Tahoma"/>
          <w:color w:val="000000"/>
          <w:sz w:val="22"/>
          <w:szCs w:val="22"/>
        </w:rPr>
      </w:pPr>
      <w:r w:rsidRPr="00BC639F">
        <w:rPr>
          <w:rFonts w:ascii="Tahoma" w:eastAsia="Tahoma" w:hAnsi="Tahoma" w:cs="Tahoma"/>
          <w:color w:val="000000"/>
          <w:sz w:val="22"/>
          <w:szCs w:val="22"/>
        </w:rPr>
        <w:t>Lo scorso 17 settembre   la Commissione internazionale indipendente delle Nazioni Unite d'inchiesta sul territorio palestinese occupato  ha concluso che Israele è responsabile di genocidio a Gaza e   la sua Presidente Navanethem Pillay  ha dichiarato che “tutti gli Stati hanno l’obbligo giuridico di utilizzare tutti i mezzi ragionevolmente a loro disposizione per fermare il genocidio a Gaza” aggiungendo che “quando emergono chiari segni e prove di genocidio, l'assenza di azioni per fermarlo equivale a compl</w:t>
      </w:r>
      <w:r>
        <w:rPr>
          <w:rFonts w:ascii="Tahoma" w:eastAsia="Tahoma" w:hAnsi="Tahoma" w:cs="Tahoma"/>
          <w:color w:val="000000"/>
          <w:sz w:val="22"/>
          <w:szCs w:val="22"/>
        </w:rPr>
        <w:t>icità”.</w:t>
      </w:r>
    </w:p>
    <w:p w:rsidR="005D7523" w:rsidRPr="00BC639F" w:rsidRDefault="005D7523" w:rsidP="005D7523">
      <w:pPr>
        <w:widowControl w:val="0"/>
        <w:pBdr>
          <w:top w:val="nil"/>
          <w:left w:val="nil"/>
          <w:bottom w:val="nil"/>
          <w:right w:val="nil"/>
          <w:between w:val="nil"/>
        </w:pBdr>
        <w:jc w:val="both"/>
        <w:rPr>
          <w:rFonts w:ascii="Tahoma" w:eastAsia="Tahoma" w:hAnsi="Tahoma" w:cs="Tahoma"/>
          <w:color w:val="000000"/>
          <w:sz w:val="22"/>
          <w:szCs w:val="22"/>
        </w:rPr>
      </w:pPr>
    </w:p>
    <w:p w:rsidR="005D7523" w:rsidRPr="00BC639F" w:rsidRDefault="005D7523" w:rsidP="005D7523">
      <w:pPr>
        <w:widowControl w:val="0"/>
        <w:pBdr>
          <w:top w:val="nil"/>
          <w:left w:val="nil"/>
          <w:bottom w:val="nil"/>
          <w:right w:val="nil"/>
          <w:between w:val="nil"/>
        </w:pBdr>
        <w:ind w:firstLine="708"/>
        <w:jc w:val="both"/>
        <w:rPr>
          <w:rFonts w:ascii="Tahoma" w:eastAsia="Tahoma" w:hAnsi="Tahoma" w:cs="Tahoma"/>
          <w:color w:val="000000"/>
          <w:sz w:val="22"/>
          <w:szCs w:val="22"/>
        </w:rPr>
      </w:pPr>
      <w:r w:rsidRPr="00BC639F">
        <w:rPr>
          <w:rFonts w:ascii="Tahoma" w:eastAsia="Tahoma" w:hAnsi="Tahoma" w:cs="Tahoma"/>
          <w:color w:val="000000"/>
          <w:sz w:val="22"/>
          <w:szCs w:val="22"/>
        </w:rPr>
        <w:t>A fronte della totale assenza di azioni per fermare il genocidio da parte del Governo Italiano un’ampia parte  del mondo del lavoro ha deciso di non poter essere complice e una sua qualificata rappresentanza si è unita alla Global Sumud Flotilla che è una flotta coordinata e non violenta, composta da decine di imbarcazioni anche battenti bandiera italiana, che si è diretta verso Gaza  per portare aiuti alimentari  essendo stata accertata l’esistenza di una deliberata campagna di riduzione alla fame nella Striscia  da parte delle forze armate israeliane che pure bloccano illegalmente lo specchio di mare davanti a Gaza.</w:t>
      </w:r>
    </w:p>
    <w:p w:rsidR="005D7523" w:rsidRPr="00BC639F" w:rsidRDefault="005D7523" w:rsidP="005D7523">
      <w:pPr>
        <w:widowControl w:val="0"/>
        <w:pBdr>
          <w:top w:val="nil"/>
          <w:left w:val="nil"/>
          <w:bottom w:val="nil"/>
          <w:right w:val="nil"/>
          <w:between w:val="nil"/>
        </w:pBdr>
        <w:jc w:val="both"/>
        <w:rPr>
          <w:rFonts w:ascii="Tahoma" w:eastAsia="Tahoma" w:hAnsi="Tahoma" w:cs="Tahoma"/>
          <w:color w:val="000000"/>
          <w:sz w:val="22"/>
          <w:szCs w:val="22"/>
        </w:rPr>
      </w:pPr>
    </w:p>
    <w:p w:rsidR="005D7523" w:rsidRPr="00BC639F" w:rsidRDefault="005D7523" w:rsidP="005D7523">
      <w:pPr>
        <w:widowControl w:val="0"/>
        <w:pBdr>
          <w:top w:val="nil"/>
          <w:left w:val="nil"/>
          <w:bottom w:val="nil"/>
          <w:right w:val="nil"/>
          <w:between w:val="nil"/>
        </w:pBdr>
        <w:ind w:firstLine="708"/>
        <w:jc w:val="both"/>
        <w:rPr>
          <w:rFonts w:ascii="Tahoma" w:eastAsia="Tahoma" w:hAnsi="Tahoma" w:cs="Tahoma"/>
          <w:color w:val="000000"/>
          <w:sz w:val="22"/>
          <w:szCs w:val="22"/>
        </w:rPr>
      </w:pPr>
      <w:r w:rsidRPr="00BC639F">
        <w:rPr>
          <w:rFonts w:ascii="Tahoma" w:eastAsia="Tahoma" w:hAnsi="Tahoma" w:cs="Tahoma"/>
          <w:color w:val="000000"/>
          <w:sz w:val="22"/>
          <w:szCs w:val="22"/>
        </w:rPr>
        <w:t xml:space="preserve">Portare aiuti alimentari nonostante la minaccia di blocco navale, per altro effettuato da Israele non nelle proprie acque territoriali dato che Gaza non è parte di tale Stato, attiene ai principi basilari di diritto del mare che garantiscono il passaggio inoffensivo attraverso le acque territoriali delle imbarcazioni che trasportano aiuti umanitari (art.18-19 Conv. Unclos), ed affermano la giurisdizione esclusiva dello Stato di bandiera quando la nave si trova in acque internazionali, vietando qualsiasi intervento armato a bordo da parte di altri Stati. In ogni caso– ai sensi del  San Remo Manual on International Law Applicable to Armed Conflicts at Sea del 1994 –  qualsiasi blocco è sempre e comunque vietato quando “abbia il solo scopo di affamare la popolazione civile o di negarle altri obiettivi essenziali per la sua sopravvivenza”, e  il secondo Protocollo aggiuntivo alla Convenzione </w:t>
      </w:r>
      <w:r>
        <w:rPr>
          <w:rFonts w:ascii="Tahoma" w:eastAsia="Tahoma" w:hAnsi="Tahoma" w:cs="Tahoma"/>
          <w:color w:val="000000"/>
          <w:sz w:val="22"/>
          <w:szCs w:val="22"/>
        </w:rPr>
        <w:t>di Ginevra del 1949 all’art. 3,</w:t>
      </w:r>
      <w:r w:rsidRPr="00BC639F">
        <w:rPr>
          <w:rFonts w:ascii="Tahoma" w:eastAsia="Tahoma" w:hAnsi="Tahoma" w:cs="Tahoma"/>
          <w:color w:val="000000"/>
          <w:sz w:val="22"/>
          <w:szCs w:val="22"/>
        </w:rPr>
        <w:t xml:space="preserve"> prevede il libero passaggio per qualsiasi invio di medicamenti e di materiale sanitario, nonché il passaggio di qualunque invio di viveri indispensabili, di capi di vestiario e di ricostituenti riservati ai fanciulli d’età inferiore ai quindici anni, alle donne incinte o alle puerpere.</w:t>
      </w:r>
    </w:p>
    <w:p w:rsidR="005D7523" w:rsidRPr="00BC639F" w:rsidRDefault="005D7523" w:rsidP="005D7523">
      <w:pPr>
        <w:widowControl w:val="0"/>
        <w:pBdr>
          <w:top w:val="nil"/>
          <w:left w:val="nil"/>
          <w:bottom w:val="nil"/>
          <w:right w:val="nil"/>
          <w:between w:val="nil"/>
        </w:pBdr>
        <w:jc w:val="both"/>
        <w:rPr>
          <w:rFonts w:ascii="Tahoma" w:eastAsia="Tahoma" w:hAnsi="Tahoma" w:cs="Tahoma"/>
          <w:color w:val="000000"/>
          <w:sz w:val="22"/>
          <w:szCs w:val="22"/>
        </w:rPr>
      </w:pPr>
    </w:p>
    <w:p w:rsidR="005D7523" w:rsidRPr="00BC639F" w:rsidRDefault="005D7523" w:rsidP="005D7523">
      <w:pPr>
        <w:widowControl w:val="0"/>
        <w:pBdr>
          <w:top w:val="nil"/>
          <w:left w:val="nil"/>
          <w:bottom w:val="nil"/>
          <w:right w:val="nil"/>
          <w:between w:val="nil"/>
        </w:pBdr>
        <w:ind w:firstLine="708"/>
        <w:jc w:val="both"/>
        <w:rPr>
          <w:rFonts w:ascii="Tahoma" w:eastAsia="Tahoma" w:hAnsi="Tahoma" w:cs="Tahoma"/>
          <w:color w:val="000000"/>
          <w:sz w:val="22"/>
          <w:szCs w:val="22"/>
        </w:rPr>
      </w:pPr>
      <w:r w:rsidRPr="00BC639F">
        <w:rPr>
          <w:rFonts w:ascii="Tahoma" w:eastAsia="Tahoma" w:hAnsi="Tahoma" w:cs="Tahoma"/>
          <w:color w:val="000000"/>
          <w:sz w:val="22"/>
          <w:szCs w:val="22"/>
        </w:rPr>
        <w:t>Tali norme non sono solo contenute nei trattati</w:t>
      </w:r>
      <w:r>
        <w:rPr>
          <w:rFonts w:ascii="Tahoma" w:eastAsia="Tahoma" w:hAnsi="Tahoma" w:cs="Tahoma"/>
          <w:color w:val="000000"/>
          <w:sz w:val="22"/>
          <w:szCs w:val="22"/>
        </w:rPr>
        <w:t>,</w:t>
      </w:r>
      <w:r w:rsidRPr="00BC639F">
        <w:rPr>
          <w:rFonts w:ascii="Tahoma" w:eastAsia="Tahoma" w:hAnsi="Tahoma" w:cs="Tahoma"/>
          <w:color w:val="000000"/>
          <w:sz w:val="22"/>
          <w:szCs w:val="22"/>
        </w:rPr>
        <w:t xml:space="preserve"> ma sono state formalizzate in quanto già patrimonio riconosciuto ed irrinunciabile della Comunità internazionale e tramite l’art. 10 della Costituzione –  per cui “l'ordinamento giuridico italiano si conforma alle norme del diritto internazionale generalmente riconosciute” – hanno portato ad un conseguente adattamento automatico dell’ordinamento costituzionale italiano (cfr Corte Costituzionale 32/1960, 68/1961, 48/1979, 323/1989).</w:t>
      </w:r>
    </w:p>
    <w:p w:rsidR="005D7523" w:rsidRPr="00BC639F" w:rsidRDefault="005D7523" w:rsidP="005D7523">
      <w:pPr>
        <w:widowControl w:val="0"/>
        <w:pBdr>
          <w:top w:val="nil"/>
          <w:left w:val="nil"/>
          <w:bottom w:val="nil"/>
          <w:right w:val="nil"/>
          <w:between w:val="nil"/>
        </w:pBdr>
        <w:jc w:val="both"/>
        <w:rPr>
          <w:rFonts w:ascii="Tahoma" w:eastAsia="Tahoma" w:hAnsi="Tahoma" w:cs="Tahoma"/>
          <w:color w:val="000000"/>
          <w:sz w:val="22"/>
          <w:szCs w:val="22"/>
        </w:rPr>
      </w:pPr>
    </w:p>
    <w:p w:rsidR="005D7523" w:rsidRPr="00BC639F" w:rsidRDefault="005D7523" w:rsidP="005D7523">
      <w:pPr>
        <w:widowControl w:val="0"/>
        <w:pBdr>
          <w:top w:val="nil"/>
          <w:left w:val="nil"/>
          <w:bottom w:val="nil"/>
          <w:right w:val="nil"/>
          <w:between w:val="nil"/>
        </w:pBdr>
        <w:ind w:firstLine="708"/>
        <w:jc w:val="both"/>
        <w:rPr>
          <w:rFonts w:ascii="Tahoma" w:eastAsia="Tahoma" w:hAnsi="Tahoma" w:cs="Tahoma"/>
          <w:color w:val="000000"/>
          <w:sz w:val="22"/>
          <w:szCs w:val="22"/>
        </w:rPr>
      </w:pPr>
      <w:r w:rsidRPr="00BC639F">
        <w:rPr>
          <w:rFonts w:ascii="Tahoma" w:eastAsia="Tahoma" w:hAnsi="Tahoma" w:cs="Tahoma"/>
          <w:color w:val="000000"/>
          <w:sz w:val="22"/>
          <w:szCs w:val="22"/>
        </w:rPr>
        <w:t>Ma ora giunge la notizia che le navi sono state attaccate prospettandosi sin da ora certamente un sequestro di persona e una tentata strage, nella speranza di non apprendere l’esistenza di reati dagli esiti ancora più gravi.</w:t>
      </w:r>
    </w:p>
    <w:p w:rsidR="005D7523" w:rsidRPr="00BC639F" w:rsidRDefault="005D7523" w:rsidP="005D7523">
      <w:pPr>
        <w:widowControl w:val="0"/>
        <w:pBdr>
          <w:top w:val="nil"/>
          <w:left w:val="nil"/>
          <w:bottom w:val="nil"/>
          <w:right w:val="nil"/>
          <w:between w:val="nil"/>
        </w:pBdr>
        <w:jc w:val="both"/>
        <w:rPr>
          <w:rFonts w:ascii="Tahoma" w:eastAsia="Tahoma" w:hAnsi="Tahoma" w:cs="Tahoma"/>
          <w:color w:val="000000"/>
          <w:sz w:val="22"/>
          <w:szCs w:val="22"/>
        </w:rPr>
      </w:pPr>
    </w:p>
    <w:p w:rsidR="005D7523" w:rsidRDefault="005D7523" w:rsidP="005D7523">
      <w:pPr>
        <w:widowControl w:val="0"/>
        <w:pBdr>
          <w:top w:val="nil"/>
          <w:left w:val="nil"/>
          <w:bottom w:val="nil"/>
          <w:right w:val="nil"/>
          <w:between w:val="nil"/>
        </w:pBdr>
        <w:ind w:firstLine="708"/>
        <w:jc w:val="both"/>
        <w:rPr>
          <w:rFonts w:ascii="Tahoma" w:eastAsia="Tahoma" w:hAnsi="Tahoma" w:cs="Tahoma"/>
          <w:color w:val="000000"/>
          <w:sz w:val="22"/>
          <w:szCs w:val="22"/>
        </w:rPr>
      </w:pPr>
      <w:r w:rsidRPr="00BC639F">
        <w:rPr>
          <w:rFonts w:ascii="Tahoma" w:eastAsia="Tahoma" w:hAnsi="Tahoma" w:cs="Tahoma"/>
          <w:color w:val="000000"/>
          <w:sz w:val="22"/>
          <w:szCs w:val="22"/>
        </w:rPr>
        <w:t xml:space="preserve">Ciò incarna esattamente la fattispecie prevista dal comma 7 dell’art. 2 L.146/90 che disciplina </w:t>
      </w:r>
      <w:r w:rsidRPr="00BC639F">
        <w:rPr>
          <w:rFonts w:ascii="Tahoma" w:eastAsia="Tahoma" w:hAnsi="Tahoma" w:cs="Tahoma"/>
          <w:color w:val="000000"/>
          <w:sz w:val="22"/>
          <w:szCs w:val="22"/>
        </w:rPr>
        <w:lastRenderedPageBreak/>
        <w:t xml:space="preserve">proprio la necessità del movimento dei lavoratori di attivarsi “in difesa dell'ordine costituzionale, o di protesta per gravi eventi lesivi dell'incolumità e della sicurezza dei lavoratori”, prevedendo in tali casi che  le disposizioni  “in tema di preavviso minimo e di indicazione della durata non si applicano nei casi di </w:t>
      </w:r>
    </w:p>
    <w:p w:rsidR="005D7523" w:rsidRDefault="005D7523" w:rsidP="005D7523">
      <w:pPr>
        <w:widowControl w:val="0"/>
        <w:pBdr>
          <w:top w:val="nil"/>
          <w:left w:val="nil"/>
          <w:bottom w:val="nil"/>
          <w:right w:val="nil"/>
          <w:between w:val="nil"/>
        </w:pBdr>
        <w:ind w:firstLine="708"/>
        <w:jc w:val="both"/>
        <w:rPr>
          <w:rFonts w:ascii="Tahoma" w:eastAsia="Tahoma" w:hAnsi="Tahoma" w:cs="Tahoma"/>
          <w:color w:val="000000"/>
          <w:sz w:val="22"/>
          <w:szCs w:val="22"/>
        </w:rPr>
      </w:pPr>
    </w:p>
    <w:p w:rsidR="005D7523" w:rsidRDefault="005D7523" w:rsidP="005D7523">
      <w:pPr>
        <w:widowControl w:val="0"/>
        <w:pBdr>
          <w:top w:val="nil"/>
          <w:left w:val="nil"/>
          <w:bottom w:val="nil"/>
          <w:right w:val="nil"/>
          <w:between w:val="nil"/>
        </w:pBdr>
        <w:jc w:val="both"/>
        <w:rPr>
          <w:rFonts w:ascii="Tahoma" w:eastAsia="Tahoma" w:hAnsi="Tahoma" w:cs="Tahoma"/>
          <w:color w:val="000000"/>
          <w:sz w:val="22"/>
          <w:szCs w:val="22"/>
        </w:rPr>
      </w:pPr>
      <w:r w:rsidRPr="00BC639F">
        <w:rPr>
          <w:rFonts w:ascii="Tahoma" w:eastAsia="Tahoma" w:hAnsi="Tahoma" w:cs="Tahoma"/>
          <w:color w:val="000000"/>
          <w:sz w:val="22"/>
          <w:szCs w:val="22"/>
        </w:rPr>
        <w:t>astensione dal lavoro” anche per quanto riguarda i lavoratori impegnati in attività rientranti nei servizi pubblici essenziali.</w:t>
      </w:r>
    </w:p>
    <w:p w:rsidR="005D7523" w:rsidRPr="00BC639F" w:rsidRDefault="005D7523" w:rsidP="005D7523">
      <w:pPr>
        <w:widowControl w:val="0"/>
        <w:pBdr>
          <w:top w:val="nil"/>
          <w:left w:val="nil"/>
          <w:bottom w:val="nil"/>
          <w:right w:val="nil"/>
          <w:between w:val="nil"/>
        </w:pBdr>
        <w:jc w:val="both"/>
        <w:rPr>
          <w:rFonts w:ascii="Tahoma" w:eastAsia="Tahoma" w:hAnsi="Tahoma" w:cs="Tahoma"/>
          <w:color w:val="000000"/>
          <w:sz w:val="22"/>
          <w:szCs w:val="22"/>
        </w:rPr>
      </w:pPr>
    </w:p>
    <w:p w:rsidR="005D7523" w:rsidRPr="00BC639F" w:rsidRDefault="005D7523" w:rsidP="005D7523">
      <w:pPr>
        <w:widowControl w:val="0"/>
        <w:pBdr>
          <w:top w:val="nil"/>
          <w:left w:val="nil"/>
          <w:bottom w:val="nil"/>
          <w:right w:val="nil"/>
          <w:between w:val="nil"/>
        </w:pBdr>
        <w:jc w:val="center"/>
        <w:rPr>
          <w:rFonts w:ascii="Tahoma" w:eastAsia="Tahoma" w:hAnsi="Tahoma" w:cs="Tahoma"/>
          <w:color w:val="000000"/>
          <w:sz w:val="22"/>
          <w:szCs w:val="22"/>
        </w:rPr>
      </w:pPr>
      <w:r w:rsidRPr="00BC639F">
        <w:rPr>
          <w:rFonts w:ascii="Tahoma" w:eastAsia="Tahoma" w:hAnsi="Tahoma" w:cs="Tahoma"/>
          <w:color w:val="000000"/>
          <w:sz w:val="22"/>
          <w:szCs w:val="22"/>
        </w:rPr>
        <w:t>Tanto premesso</w:t>
      </w:r>
      <w:r>
        <w:rPr>
          <w:rFonts w:ascii="Tahoma" w:eastAsia="Tahoma" w:hAnsi="Tahoma" w:cs="Tahoma"/>
          <w:color w:val="000000"/>
          <w:sz w:val="22"/>
          <w:szCs w:val="22"/>
        </w:rPr>
        <w:t xml:space="preserve">, </w:t>
      </w:r>
      <w:r w:rsidRPr="00BC639F">
        <w:rPr>
          <w:rFonts w:ascii="Tahoma" w:eastAsia="Tahoma" w:hAnsi="Tahoma" w:cs="Tahoma"/>
          <w:color w:val="000000"/>
          <w:sz w:val="22"/>
          <w:szCs w:val="22"/>
        </w:rPr>
        <w:t>la scrivente O.S. proclama</w:t>
      </w:r>
    </w:p>
    <w:p w:rsidR="005D7523" w:rsidRPr="00BC639F" w:rsidRDefault="005D7523" w:rsidP="005D7523">
      <w:pPr>
        <w:widowControl w:val="0"/>
        <w:pBdr>
          <w:top w:val="nil"/>
          <w:left w:val="nil"/>
          <w:bottom w:val="nil"/>
          <w:right w:val="nil"/>
          <w:between w:val="nil"/>
        </w:pBdr>
        <w:jc w:val="center"/>
        <w:rPr>
          <w:rFonts w:ascii="Tahoma" w:eastAsia="Tahoma" w:hAnsi="Tahoma" w:cs="Tahoma"/>
          <w:color w:val="000000"/>
          <w:sz w:val="22"/>
          <w:szCs w:val="22"/>
        </w:rPr>
      </w:pPr>
    </w:p>
    <w:p w:rsidR="00AD23C3" w:rsidRPr="003B577D" w:rsidRDefault="00AD23C3" w:rsidP="00AD23C3">
      <w:pPr>
        <w:widowControl w:val="0"/>
        <w:pBdr>
          <w:top w:val="nil"/>
          <w:left w:val="nil"/>
          <w:bottom w:val="nil"/>
          <w:right w:val="nil"/>
          <w:between w:val="nil"/>
        </w:pBdr>
        <w:jc w:val="center"/>
        <w:rPr>
          <w:rFonts w:ascii="Tahoma" w:eastAsia="Tahoma" w:hAnsi="Tahoma" w:cs="Tahoma"/>
          <w:sz w:val="22"/>
          <w:szCs w:val="22"/>
        </w:rPr>
      </w:pPr>
      <w:r w:rsidRPr="003B577D">
        <w:rPr>
          <w:rFonts w:ascii="Tahoma" w:eastAsia="Tahoma" w:hAnsi="Tahoma" w:cs="Tahoma"/>
          <w:sz w:val="22"/>
          <w:szCs w:val="22"/>
        </w:rPr>
        <w:t>SCIOPERO GENERALE PER TUTTI I SETTORI PRIVATI E PUBBLICI</w:t>
      </w:r>
    </w:p>
    <w:p w:rsidR="00AD23C3" w:rsidRPr="003B577D" w:rsidRDefault="00AD23C3" w:rsidP="00AD23C3">
      <w:pPr>
        <w:widowControl w:val="0"/>
        <w:pBdr>
          <w:top w:val="nil"/>
          <w:left w:val="nil"/>
          <w:bottom w:val="nil"/>
          <w:right w:val="nil"/>
          <w:between w:val="nil"/>
        </w:pBdr>
        <w:jc w:val="center"/>
        <w:rPr>
          <w:rFonts w:ascii="Tahoma" w:eastAsia="Tahoma" w:hAnsi="Tahoma" w:cs="Tahoma"/>
          <w:sz w:val="22"/>
          <w:szCs w:val="22"/>
        </w:rPr>
      </w:pPr>
    </w:p>
    <w:p w:rsidR="00AD23C3" w:rsidRPr="003B577D" w:rsidRDefault="00AD23C3" w:rsidP="00AD23C3">
      <w:pPr>
        <w:widowControl w:val="0"/>
        <w:pBdr>
          <w:top w:val="nil"/>
          <w:left w:val="nil"/>
          <w:bottom w:val="nil"/>
          <w:right w:val="nil"/>
          <w:between w:val="nil"/>
        </w:pBdr>
        <w:jc w:val="center"/>
        <w:rPr>
          <w:rFonts w:ascii="Tahoma" w:eastAsia="Tahoma" w:hAnsi="Tahoma" w:cs="Tahoma"/>
          <w:sz w:val="22"/>
          <w:szCs w:val="22"/>
        </w:rPr>
      </w:pPr>
      <w:r w:rsidRPr="003B577D">
        <w:rPr>
          <w:rFonts w:ascii="Tahoma" w:eastAsia="Tahoma" w:hAnsi="Tahoma" w:cs="Tahoma"/>
          <w:sz w:val="22"/>
          <w:szCs w:val="22"/>
        </w:rPr>
        <w:t>Per l’intera giornata del 03 ottobre 2025 ai sensi l’art. 2, comma 7, della legge n.146/90</w:t>
      </w:r>
    </w:p>
    <w:p w:rsidR="00AD23C3" w:rsidRPr="003B577D" w:rsidRDefault="00AD23C3" w:rsidP="00AD23C3">
      <w:pPr>
        <w:widowControl w:val="0"/>
        <w:pBdr>
          <w:top w:val="nil"/>
          <w:left w:val="nil"/>
          <w:bottom w:val="nil"/>
          <w:right w:val="nil"/>
          <w:between w:val="nil"/>
        </w:pBdr>
        <w:jc w:val="center"/>
        <w:rPr>
          <w:rFonts w:ascii="Tahoma" w:eastAsia="Tahoma" w:hAnsi="Tahoma" w:cs="Tahoma"/>
          <w:sz w:val="22"/>
          <w:szCs w:val="22"/>
        </w:rPr>
      </w:pPr>
      <w:r w:rsidRPr="003B577D">
        <w:rPr>
          <w:rFonts w:ascii="Tahoma" w:eastAsia="Tahoma" w:hAnsi="Tahoma" w:cs="Tahoma"/>
          <w:sz w:val="22"/>
          <w:szCs w:val="22"/>
        </w:rPr>
        <w:t xml:space="preserve"> </w:t>
      </w:r>
    </w:p>
    <w:p w:rsidR="00AD23C3" w:rsidRPr="003B577D" w:rsidRDefault="00AD23C3" w:rsidP="00AD23C3">
      <w:pPr>
        <w:widowControl w:val="0"/>
        <w:pBdr>
          <w:top w:val="nil"/>
          <w:left w:val="nil"/>
          <w:bottom w:val="nil"/>
          <w:right w:val="nil"/>
          <w:between w:val="nil"/>
        </w:pBdr>
        <w:jc w:val="both"/>
        <w:rPr>
          <w:rFonts w:ascii="Tahoma" w:eastAsia="Tahoma" w:hAnsi="Tahoma" w:cs="Tahoma"/>
          <w:sz w:val="22"/>
          <w:szCs w:val="22"/>
        </w:rPr>
      </w:pPr>
      <w:r w:rsidRPr="003B577D">
        <w:rPr>
          <w:rFonts w:ascii="Tahoma" w:eastAsia="Tahoma" w:hAnsi="Tahoma" w:cs="Tahoma"/>
          <w:sz w:val="22"/>
          <w:szCs w:val="22"/>
        </w:rPr>
        <w:t xml:space="preserve">Per il </w:t>
      </w:r>
      <w:r w:rsidRPr="003B577D">
        <w:rPr>
          <w:rFonts w:ascii="Tahoma" w:eastAsia="Tahoma" w:hAnsi="Tahoma" w:cs="Tahoma"/>
          <w:b/>
          <w:sz w:val="22"/>
          <w:szCs w:val="22"/>
        </w:rPr>
        <w:t>personale delle attività ferroviarie</w:t>
      </w:r>
      <w:r w:rsidRPr="003B577D">
        <w:rPr>
          <w:rFonts w:ascii="Tahoma" w:eastAsia="Tahoma" w:hAnsi="Tahoma" w:cs="Tahoma"/>
          <w:sz w:val="22"/>
          <w:szCs w:val="22"/>
        </w:rPr>
        <w:t xml:space="preserve"> lo sciopero inizierà dalle ore 21.00 del 02 ottobre 2025</w:t>
      </w:r>
    </w:p>
    <w:p w:rsidR="00AD23C3" w:rsidRPr="003B577D" w:rsidRDefault="00AD23C3" w:rsidP="00AD23C3">
      <w:pPr>
        <w:widowControl w:val="0"/>
        <w:pBdr>
          <w:top w:val="nil"/>
          <w:left w:val="nil"/>
          <w:bottom w:val="nil"/>
          <w:right w:val="nil"/>
          <w:between w:val="nil"/>
        </w:pBdr>
        <w:jc w:val="both"/>
        <w:rPr>
          <w:rFonts w:ascii="Tahoma" w:eastAsia="Tahoma" w:hAnsi="Tahoma" w:cs="Tahoma"/>
          <w:sz w:val="22"/>
          <w:szCs w:val="22"/>
        </w:rPr>
      </w:pPr>
      <w:r w:rsidRPr="003B577D">
        <w:rPr>
          <w:rFonts w:ascii="Tahoma" w:eastAsia="Tahoma" w:hAnsi="Tahoma" w:cs="Tahoma"/>
          <w:sz w:val="22"/>
          <w:szCs w:val="22"/>
        </w:rPr>
        <w:t xml:space="preserve">Per il </w:t>
      </w:r>
      <w:r w:rsidRPr="003B577D">
        <w:rPr>
          <w:rFonts w:ascii="Tahoma" w:eastAsia="Tahoma" w:hAnsi="Tahoma" w:cs="Tahoma"/>
          <w:b/>
          <w:sz w:val="22"/>
          <w:szCs w:val="22"/>
        </w:rPr>
        <w:t>personale delle autostrade</w:t>
      </w:r>
      <w:r w:rsidRPr="003B577D">
        <w:rPr>
          <w:rFonts w:ascii="Tahoma" w:eastAsia="Tahoma" w:hAnsi="Tahoma" w:cs="Tahoma"/>
          <w:sz w:val="22"/>
          <w:szCs w:val="22"/>
        </w:rPr>
        <w:t xml:space="preserve"> lo sciopero inizierà alle ore 22.00 del 02 ottobre 2025</w:t>
      </w:r>
    </w:p>
    <w:p w:rsidR="00AD23C3" w:rsidRPr="003B577D" w:rsidRDefault="00AD23C3" w:rsidP="00AD23C3">
      <w:pPr>
        <w:widowControl w:val="0"/>
        <w:pBdr>
          <w:top w:val="nil"/>
          <w:left w:val="nil"/>
          <w:bottom w:val="nil"/>
          <w:right w:val="nil"/>
          <w:between w:val="nil"/>
        </w:pBdr>
        <w:jc w:val="both"/>
        <w:rPr>
          <w:rFonts w:ascii="Tahoma" w:eastAsia="Tahoma" w:hAnsi="Tahoma" w:cs="Tahoma"/>
          <w:sz w:val="22"/>
          <w:szCs w:val="22"/>
        </w:rPr>
      </w:pPr>
    </w:p>
    <w:p w:rsidR="00AD23C3" w:rsidRPr="003B577D" w:rsidRDefault="00AD23C3" w:rsidP="00AD23C3">
      <w:pPr>
        <w:widowControl w:val="0"/>
        <w:pBdr>
          <w:top w:val="nil"/>
          <w:left w:val="nil"/>
          <w:bottom w:val="nil"/>
          <w:right w:val="nil"/>
          <w:between w:val="nil"/>
        </w:pBdr>
        <w:ind w:firstLine="708"/>
        <w:jc w:val="both"/>
        <w:rPr>
          <w:rFonts w:ascii="Tahoma" w:eastAsia="Tahoma" w:hAnsi="Tahoma" w:cs="Tahoma"/>
          <w:sz w:val="22"/>
          <w:szCs w:val="22"/>
        </w:rPr>
      </w:pPr>
      <w:r w:rsidRPr="003B577D">
        <w:rPr>
          <w:rFonts w:ascii="Tahoma" w:eastAsia="Tahoma" w:hAnsi="Tahoma" w:cs="Tahoma"/>
          <w:sz w:val="22"/>
          <w:szCs w:val="22"/>
        </w:rPr>
        <w:t xml:space="preserve">Per i </w:t>
      </w:r>
      <w:r w:rsidRPr="003B577D">
        <w:rPr>
          <w:rFonts w:ascii="Tahoma" w:eastAsia="Tahoma" w:hAnsi="Tahoma" w:cs="Tahoma"/>
          <w:b/>
          <w:sz w:val="22"/>
          <w:szCs w:val="22"/>
        </w:rPr>
        <w:t>Vigili del fuoco</w:t>
      </w:r>
      <w:r w:rsidRPr="003B577D">
        <w:rPr>
          <w:rFonts w:ascii="Tahoma" w:eastAsia="Tahoma" w:hAnsi="Tahoma" w:cs="Tahoma"/>
          <w:sz w:val="22"/>
          <w:szCs w:val="22"/>
        </w:rPr>
        <w:t xml:space="preserve"> lo Sciopero sarà di 4 ore (senza decurtazione). Inizierà, per il personale turnista, alle ore 09.00 e terminerà alle ore 13.00 mentre sarà dell’intera giornata per il personale giornaliero e amministrativo. </w:t>
      </w:r>
    </w:p>
    <w:p w:rsidR="00AD23C3" w:rsidRPr="003B577D" w:rsidRDefault="00AD23C3" w:rsidP="00AD23C3">
      <w:pPr>
        <w:widowControl w:val="0"/>
        <w:pBdr>
          <w:top w:val="nil"/>
          <w:left w:val="nil"/>
          <w:bottom w:val="nil"/>
          <w:right w:val="nil"/>
          <w:between w:val="nil"/>
        </w:pBdr>
        <w:jc w:val="both"/>
        <w:rPr>
          <w:rFonts w:ascii="Tahoma" w:eastAsia="Tahoma" w:hAnsi="Tahoma" w:cs="Tahoma"/>
          <w:sz w:val="22"/>
          <w:szCs w:val="22"/>
        </w:rPr>
      </w:pPr>
    </w:p>
    <w:p w:rsidR="00AD23C3" w:rsidRPr="003B577D" w:rsidRDefault="00AD23C3" w:rsidP="00AD23C3">
      <w:pPr>
        <w:widowControl w:val="0"/>
        <w:pBdr>
          <w:top w:val="nil"/>
          <w:left w:val="nil"/>
          <w:bottom w:val="nil"/>
          <w:right w:val="nil"/>
          <w:between w:val="nil"/>
        </w:pBdr>
        <w:ind w:firstLine="708"/>
        <w:jc w:val="both"/>
        <w:rPr>
          <w:rFonts w:ascii="Tahoma" w:eastAsia="Tahoma" w:hAnsi="Tahoma" w:cs="Tahoma"/>
          <w:sz w:val="22"/>
          <w:szCs w:val="22"/>
        </w:rPr>
      </w:pPr>
      <w:r w:rsidRPr="003B577D">
        <w:rPr>
          <w:rFonts w:ascii="Tahoma" w:eastAsia="Tahoma" w:hAnsi="Tahoma" w:cs="Tahoma"/>
          <w:sz w:val="22"/>
          <w:szCs w:val="22"/>
        </w:rPr>
        <w:t xml:space="preserve">Per la </w:t>
      </w:r>
      <w:r w:rsidRPr="003B577D">
        <w:rPr>
          <w:rFonts w:ascii="Tahoma" w:eastAsia="Tahoma" w:hAnsi="Tahoma" w:cs="Tahoma"/>
          <w:b/>
          <w:sz w:val="22"/>
          <w:szCs w:val="22"/>
        </w:rPr>
        <w:t>Sanità</w:t>
      </w:r>
      <w:r w:rsidRPr="003B577D">
        <w:rPr>
          <w:rFonts w:ascii="Tahoma" w:eastAsia="Tahoma" w:hAnsi="Tahoma" w:cs="Tahoma"/>
          <w:sz w:val="22"/>
          <w:szCs w:val="22"/>
        </w:rPr>
        <w:t xml:space="preserve"> lo sciopero è articolato da inizio primo turno del 03 ottobre 2025 a fine dell’ultimo turno della stessa giornata.</w:t>
      </w:r>
    </w:p>
    <w:p w:rsidR="00AD23C3" w:rsidRPr="003B577D" w:rsidRDefault="00AD23C3" w:rsidP="00AD23C3">
      <w:pPr>
        <w:widowControl w:val="0"/>
        <w:pBdr>
          <w:top w:val="nil"/>
          <w:left w:val="nil"/>
          <w:bottom w:val="nil"/>
          <w:right w:val="nil"/>
          <w:between w:val="nil"/>
        </w:pBdr>
        <w:jc w:val="both"/>
        <w:rPr>
          <w:rFonts w:ascii="Tahoma" w:eastAsia="Tahoma" w:hAnsi="Tahoma" w:cs="Tahoma"/>
          <w:sz w:val="22"/>
          <w:szCs w:val="22"/>
        </w:rPr>
      </w:pPr>
    </w:p>
    <w:p w:rsidR="00AD23C3" w:rsidRPr="003B577D" w:rsidRDefault="00AD23C3" w:rsidP="00AD23C3">
      <w:pPr>
        <w:widowControl w:val="0"/>
        <w:pBdr>
          <w:top w:val="nil"/>
          <w:left w:val="nil"/>
          <w:bottom w:val="nil"/>
          <w:right w:val="nil"/>
          <w:between w:val="nil"/>
        </w:pBdr>
        <w:ind w:firstLine="708"/>
        <w:jc w:val="both"/>
        <w:rPr>
          <w:rFonts w:ascii="Tahoma" w:eastAsia="Tahoma" w:hAnsi="Tahoma" w:cs="Tahoma"/>
          <w:sz w:val="22"/>
          <w:szCs w:val="22"/>
        </w:rPr>
      </w:pPr>
      <w:r w:rsidRPr="003B577D">
        <w:rPr>
          <w:rFonts w:ascii="Tahoma" w:eastAsia="Tahoma" w:hAnsi="Tahoma" w:cs="Tahoma"/>
          <w:sz w:val="22"/>
          <w:szCs w:val="22"/>
        </w:rPr>
        <w:t>Durante lo sciopero generale saranno garantite le prestazioni indispensabili, come stabilito dalle regolamentazioni di settore, e a questo scopo fin da ora si offe la maggiore collaborazione possibile alle singole amministrazioni per organizzare quanto necessario, anche nei ristretti tempi a disposizione.</w:t>
      </w:r>
    </w:p>
    <w:p w:rsidR="00AD23C3" w:rsidRPr="003B577D" w:rsidRDefault="00AD23C3" w:rsidP="00AD23C3">
      <w:pPr>
        <w:widowControl w:val="0"/>
        <w:pBdr>
          <w:top w:val="nil"/>
          <w:left w:val="nil"/>
          <w:bottom w:val="nil"/>
          <w:right w:val="nil"/>
          <w:between w:val="nil"/>
        </w:pBdr>
        <w:ind w:firstLine="708"/>
        <w:jc w:val="both"/>
        <w:rPr>
          <w:rFonts w:ascii="Tahoma" w:eastAsia="Tahoma" w:hAnsi="Tahoma" w:cs="Tahoma"/>
          <w:sz w:val="22"/>
          <w:szCs w:val="22"/>
        </w:rPr>
      </w:pPr>
      <w:r w:rsidRPr="003B577D">
        <w:rPr>
          <w:rFonts w:ascii="Tahoma" w:eastAsia="Tahoma" w:hAnsi="Tahoma" w:cs="Tahoma"/>
          <w:sz w:val="22"/>
          <w:szCs w:val="22"/>
        </w:rPr>
        <w:t xml:space="preserve"> Si rammenta, alle istituzioni in indirizzo, di garantire, per quanto possibile, il rispetto dell’informazione all’utenza sullo sciopero come previsto dall’art. 2 comma 6 della legge 146/90 e successive modificazioni.</w:t>
      </w:r>
    </w:p>
    <w:p w:rsidR="0079644B" w:rsidRDefault="0079644B" w:rsidP="0079644B">
      <w:pPr>
        <w:autoSpaceDE w:val="0"/>
        <w:spacing w:line="160" w:lineRule="atLeast"/>
        <w:ind w:firstLine="708"/>
        <w:jc w:val="both"/>
        <w:rPr>
          <w:sz w:val="26"/>
          <w:szCs w:val="26"/>
        </w:rPr>
      </w:pPr>
    </w:p>
    <w:p w:rsidR="00820D30" w:rsidRPr="000450FE" w:rsidRDefault="00820D30" w:rsidP="0079644B">
      <w:pPr>
        <w:autoSpaceDE w:val="0"/>
        <w:spacing w:line="160" w:lineRule="atLeast"/>
        <w:ind w:firstLine="708"/>
        <w:jc w:val="both"/>
        <w:rPr>
          <w:sz w:val="16"/>
          <w:szCs w:val="16"/>
        </w:rPr>
      </w:pPr>
    </w:p>
    <w:p w:rsidR="002B64F4" w:rsidRDefault="00BC3619" w:rsidP="00BC3619">
      <w:pPr>
        <w:pBdr>
          <w:top w:val="nil"/>
          <w:left w:val="nil"/>
          <w:bottom w:val="nil"/>
          <w:right w:val="nil"/>
          <w:between w:val="nil"/>
        </w:pBdr>
        <w:jc w:val="center"/>
        <w:rPr>
          <w:rFonts w:ascii="Tahoma" w:eastAsia="Tahoma" w:hAnsi="Tahoma" w:cs="Tahoma"/>
          <w:sz w:val="22"/>
          <w:szCs w:val="22"/>
        </w:rPr>
      </w:pPr>
      <w:r w:rsidRPr="00BC3619">
        <w:rPr>
          <w:rFonts w:ascii="Tahoma" w:eastAsia="Tahoma" w:hAnsi="Tahoma" w:cs="Tahoma"/>
          <w:sz w:val="22"/>
          <w:szCs w:val="22"/>
        </w:rPr>
        <w:t xml:space="preserve">                    </w:t>
      </w:r>
      <w:r w:rsidR="00985D47">
        <w:rPr>
          <w:rFonts w:ascii="Tahoma" w:eastAsia="Tahoma" w:hAnsi="Tahoma" w:cs="Tahoma"/>
          <w:sz w:val="22"/>
          <w:szCs w:val="22"/>
        </w:rPr>
        <w:t xml:space="preserve">    </w:t>
      </w:r>
      <w:r>
        <w:rPr>
          <w:rFonts w:ascii="Tahoma" w:eastAsia="Tahoma" w:hAnsi="Tahoma" w:cs="Tahoma"/>
          <w:sz w:val="22"/>
          <w:szCs w:val="22"/>
        </w:rPr>
        <w:t xml:space="preserve">                          </w:t>
      </w:r>
    </w:p>
    <w:sectPr w:rsidR="002B64F4" w:rsidSect="00374209">
      <w:footerReference w:type="default" r:id="rId8"/>
      <w:pgSz w:w="11906" w:h="16838"/>
      <w:pgMar w:top="851" w:right="851" w:bottom="1021" w:left="851" w:header="720" w:footer="44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329" w:rsidRDefault="008652E4">
      <w:r>
        <w:separator/>
      </w:r>
    </w:p>
  </w:endnote>
  <w:endnote w:type="continuationSeparator" w:id="0">
    <w:p w:rsidR="00FA2329" w:rsidRDefault="00865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209" w:rsidRDefault="00374209" w:rsidP="00374209">
    <w:pPr>
      <w:pStyle w:val="Corpotesto"/>
      <w:jc w:val="center"/>
      <w:rPr>
        <w:rStyle w:val="Nessuno"/>
        <w:rFonts w:ascii="Arial" w:eastAsia="Arial" w:hAnsi="Arial" w:cs="Arial"/>
        <w:b/>
        <w:bCs/>
        <w:sz w:val="20"/>
        <w:szCs w:val="20"/>
      </w:rPr>
    </w:pPr>
    <w:r>
      <w:rPr>
        <w:rStyle w:val="Nessuno"/>
        <w:rFonts w:ascii="Arial" w:hAnsi="Arial"/>
        <w:b/>
        <w:bCs/>
        <w:sz w:val="20"/>
        <w:szCs w:val="20"/>
      </w:rPr>
      <w:t>Unione Sindacale di Base</w:t>
    </w:r>
  </w:p>
  <w:p w:rsidR="00374209" w:rsidRDefault="00374209" w:rsidP="00374209">
    <w:pPr>
      <w:pStyle w:val="Corpotesto"/>
      <w:jc w:val="center"/>
      <w:rPr>
        <w:rStyle w:val="Nessuno"/>
        <w:rFonts w:ascii="Arial" w:eastAsia="Arial" w:hAnsi="Arial" w:cs="Arial"/>
        <w:sz w:val="18"/>
        <w:szCs w:val="18"/>
      </w:rPr>
    </w:pPr>
    <w:r>
      <w:rPr>
        <w:rStyle w:val="Nessuno"/>
        <w:rFonts w:ascii="Arial" w:hAnsi="Arial"/>
        <w:sz w:val="18"/>
        <w:szCs w:val="18"/>
      </w:rPr>
      <w:t xml:space="preserve">00175 Roma, Via dell’Aeroporto, 129 -  Tel. 0659640004 </w:t>
    </w:r>
  </w:p>
  <w:p w:rsidR="00374209" w:rsidRDefault="00374209" w:rsidP="00374209">
    <w:pPr>
      <w:pStyle w:val="Corpotesto"/>
      <w:jc w:val="center"/>
      <w:rPr>
        <w:rStyle w:val="Nessuno"/>
        <w:sz w:val="18"/>
        <w:szCs w:val="18"/>
      </w:rPr>
    </w:pPr>
    <w:r>
      <w:rPr>
        <w:rStyle w:val="Nessuno"/>
        <w:rFonts w:ascii="Arial" w:hAnsi="Arial"/>
        <w:sz w:val="18"/>
        <w:szCs w:val="18"/>
      </w:rPr>
      <w:t xml:space="preserve"> e-mail: </w:t>
    </w:r>
    <w:hyperlink r:id="rId1" w:history="1">
      <w:r>
        <w:rPr>
          <w:rStyle w:val="Hyperlink0"/>
        </w:rPr>
        <w:t>usb@usb.it</w:t>
      </w:r>
    </w:hyperlink>
    <w:r>
      <w:rPr>
        <w:rStyle w:val="Nessuno"/>
        <w:sz w:val="18"/>
        <w:szCs w:val="18"/>
      </w:rPr>
      <w:t xml:space="preserve">, pec: </w:t>
    </w:r>
    <w:hyperlink r:id="rId2" w:history="1">
      <w:r>
        <w:rPr>
          <w:rStyle w:val="Hyperlink0"/>
        </w:rPr>
        <w:t>usbnazionale@pec.usb.it</w:t>
      </w:r>
    </w:hyperlink>
    <w:r>
      <w:rPr>
        <w:rStyle w:val="Nessuno"/>
        <w:rFonts w:ascii="Arial" w:hAnsi="Arial"/>
        <w:sz w:val="18"/>
        <w:szCs w:val="18"/>
      </w:rPr>
      <w:t xml:space="preserve"> </w:t>
    </w:r>
  </w:p>
  <w:p w:rsidR="00374209" w:rsidRDefault="00374209" w:rsidP="00374209">
    <w:pPr>
      <w:pStyle w:val="Corpotesto"/>
      <w:jc w:val="center"/>
      <w:rPr>
        <w:rStyle w:val="Nessuno"/>
        <w:sz w:val="18"/>
        <w:szCs w:val="18"/>
      </w:rPr>
    </w:pPr>
    <w:r>
      <w:rPr>
        <w:rStyle w:val="Nessuno"/>
        <w:rFonts w:ascii="Arial" w:hAnsi="Arial"/>
        <w:sz w:val="18"/>
        <w:szCs w:val="18"/>
      </w:rPr>
      <w:t xml:space="preserve">web: </w:t>
    </w:r>
    <w:hyperlink r:id="rId3" w:history="1">
      <w:r>
        <w:rPr>
          <w:rStyle w:val="Hyperlink0"/>
        </w:rPr>
        <w:t>http://www.usb.it</w:t>
      </w:r>
    </w:hyperlink>
  </w:p>
  <w:p w:rsidR="00374209" w:rsidRDefault="00374209" w:rsidP="00374209">
    <w:pPr>
      <w:pStyle w:val="Pidipagina"/>
      <w:jc w:val="right"/>
    </w:pPr>
    <w:r>
      <w:fldChar w:fldCharType="begin"/>
    </w:r>
    <w:r>
      <w:instrText xml:space="preserve"> PAGE </w:instrText>
    </w:r>
    <w:r>
      <w:fldChar w:fldCharType="separate"/>
    </w:r>
    <w:r w:rsidR="00274ECC">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329" w:rsidRDefault="008652E4">
      <w:r>
        <w:separator/>
      </w:r>
    </w:p>
  </w:footnote>
  <w:footnote w:type="continuationSeparator" w:id="0">
    <w:p w:rsidR="00FA2329" w:rsidRDefault="008652E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D73EC"/>
    <w:multiLevelType w:val="hybridMultilevel"/>
    <w:tmpl w:val="E42E7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9675909"/>
    <w:multiLevelType w:val="multilevel"/>
    <w:tmpl w:val="0DF0EC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15:restartNumberingAfterBreak="0">
    <w:nsid w:val="606B2D8F"/>
    <w:multiLevelType w:val="hybridMultilevel"/>
    <w:tmpl w:val="196EDE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6620503"/>
    <w:multiLevelType w:val="hybridMultilevel"/>
    <w:tmpl w:val="CF06D66C"/>
    <w:lvl w:ilvl="0" w:tplc="7130988E">
      <w:numFmt w:val="bullet"/>
      <w:lvlText w:val=""/>
      <w:lvlJc w:val="left"/>
      <w:pPr>
        <w:ind w:left="1096" w:hanging="360"/>
      </w:pPr>
      <w:rPr>
        <w:rFonts w:ascii="Symbol" w:eastAsia="Symbol" w:hAnsi="Symbol" w:cs="Symbol" w:hint="default"/>
        <w:w w:val="100"/>
        <w:sz w:val="23"/>
        <w:szCs w:val="23"/>
        <w:lang w:val="it-IT" w:eastAsia="en-US" w:bidi="ar-SA"/>
      </w:rPr>
    </w:lvl>
    <w:lvl w:ilvl="1" w:tplc="1652859C">
      <w:numFmt w:val="bullet"/>
      <w:lvlText w:val="•"/>
      <w:lvlJc w:val="left"/>
      <w:pPr>
        <w:ind w:left="2040" w:hanging="360"/>
      </w:pPr>
      <w:rPr>
        <w:rFonts w:hint="default"/>
        <w:lang w:val="it-IT" w:eastAsia="en-US" w:bidi="ar-SA"/>
      </w:rPr>
    </w:lvl>
    <w:lvl w:ilvl="2" w:tplc="1FA2D8B8">
      <w:numFmt w:val="bullet"/>
      <w:lvlText w:val="•"/>
      <w:lvlJc w:val="left"/>
      <w:pPr>
        <w:ind w:left="2981" w:hanging="360"/>
      </w:pPr>
      <w:rPr>
        <w:rFonts w:hint="default"/>
        <w:lang w:val="it-IT" w:eastAsia="en-US" w:bidi="ar-SA"/>
      </w:rPr>
    </w:lvl>
    <w:lvl w:ilvl="3" w:tplc="9294D710">
      <w:numFmt w:val="bullet"/>
      <w:lvlText w:val="•"/>
      <w:lvlJc w:val="left"/>
      <w:pPr>
        <w:ind w:left="3921" w:hanging="360"/>
      </w:pPr>
      <w:rPr>
        <w:rFonts w:hint="default"/>
        <w:lang w:val="it-IT" w:eastAsia="en-US" w:bidi="ar-SA"/>
      </w:rPr>
    </w:lvl>
    <w:lvl w:ilvl="4" w:tplc="FF8C69B4">
      <w:numFmt w:val="bullet"/>
      <w:lvlText w:val="•"/>
      <w:lvlJc w:val="left"/>
      <w:pPr>
        <w:ind w:left="4862" w:hanging="360"/>
      </w:pPr>
      <w:rPr>
        <w:rFonts w:hint="default"/>
        <w:lang w:val="it-IT" w:eastAsia="en-US" w:bidi="ar-SA"/>
      </w:rPr>
    </w:lvl>
    <w:lvl w:ilvl="5" w:tplc="91340202">
      <w:numFmt w:val="bullet"/>
      <w:lvlText w:val="•"/>
      <w:lvlJc w:val="left"/>
      <w:pPr>
        <w:ind w:left="5803" w:hanging="360"/>
      </w:pPr>
      <w:rPr>
        <w:rFonts w:hint="default"/>
        <w:lang w:val="it-IT" w:eastAsia="en-US" w:bidi="ar-SA"/>
      </w:rPr>
    </w:lvl>
    <w:lvl w:ilvl="6" w:tplc="64347B3A">
      <w:numFmt w:val="bullet"/>
      <w:lvlText w:val="•"/>
      <w:lvlJc w:val="left"/>
      <w:pPr>
        <w:ind w:left="6743" w:hanging="360"/>
      </w:pPr>
      <w:rPr>
        <w:rFonts w:hint="default"/>
        <w:lang w:val="it-IT" w:eastAsia="en-US" w:bidi="ar-SA"/>
      </w:rPr>
    </w:lvl>
    <w:lvl w:ilvl="7" w:tplc="E1D442F4">
      <w:numFmt w:val="bullet"/>
      <w:lvlText w:val="•"/>
      <w:lvlJc w:val="left"/>
      <w:pPr>
        <w:ind w:left="7684" w:hanging="360"/>
      </w:pPr>
      <w:rPr>
        <w:rFonts w:hint="default"/>
        <w:lang w:val="it-IT" w:eastAsia="en-US" w:bidi="ar-SA"/>
      </w:rPr>
    </w:lvl>
    <w:lvl w:ilvl="8" w:tplc="D4F693CE">
      <w:numFmt w:val="bullet"/>
      <w:lvlText w:val="•"/>
      <w:lvlJc w:val="left"/>
      <w:pPr>
        <w:ind w:left="8625" w:hanging="360"/>
      </w:pPr>
      <w:rPr>
        <w:rFonts w:hint="default"/>
        <w:lang w:val="it-IT" w:eastAsia="en-US" w:bidi="ar-S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F4"/>
    <w:rsid w:val="000016FA"/>
    <w:rsid w:val="00026CB7"/>
    <w:rsid w:val="000450FE"/>
    <w:rsid w:val="00085D2D"/>
    <w:rsid w:val="002633AA"/>
    <w:rsid w:val="00274ECC"/>
    <w:rsid w:val="002958DC"/>
    <w:rsid w:val="002B64F4"/>
    <w:rsid w:val="00350D70"/>
    <w:rsid w:val="00374209"/>
    <w:rsid w:val="003C22EE"/>
    <w:rsid w:val="00435930"/>
    <w:rsid w:val="00477900"/>
    <w:rsid w:val="004B01CC"/>
    <w:rsid w:val="00501A46"/>
    <w:rsid w:val="005711A5"/>
    <w:rsid w:val="005D7523"/>
    <w:rsid w:val="006D351B"/>
    <w:rsid w:val="007447A8"/>
    <w:rsid w:val="00790EF2"/>
    <w:rsid w:val="0079644B"/>
    <w:rsid w:val="00820D30"/>
    <w:rsid w:val="008652E4"/>
    <w:rsid w:val="008B0E79"/>
    <w:rsid w:val="008E3A6F"/>
    <w:rsid w:val="008F712B"/>
    <w:rsid w:val="00985D47"/>
    <w:rsid w:val="00AA3B76"/>
    <w:rsid w:val="00AD23C3"/>
    <w:rsid w:val="00AE52E4"/>
    <w:rsid w:val="00B75477"/>
    <w:rsid w:val="00BC3619"/>
    <w:rsid w:val="00C41A50"/>
    <w:rsid w:val="00C67685"/>
    <w:rsid w:val="00C9747D"/>
    <w:rsid w:val="00CC1F52"/>
    <w:rsid w:val="00D165A4"/>
    <w:rsid w:val="00D56722"/>
    <w:rsid w:val="00D607FB"/>
    <w:rsid w:val="00F41B4F"/>
    <w:rsid w:val="00FA2329"/>
    <w:rsid w:val="00FB70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206365A"/>
  <w15:docId w15:val="{EF5EA5A6-5F14-4D5B-B792-CBCFF9A37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55" w:type="dxa"/>
        <w:bottom w:w="55" w:type="dxa"/>
        <w:right w:w="55" w:type="dxa"/>
      </w:tblCellMar>
    </w:tblPr>
  </w:style>
  <w:style w:type="character" w:styleId="Collegamentoipertestuale">
    <w:name w:val="Hyperlink"/>
    <w:rsid w:val="00B75477"/>
    <w:rPr>
      <w:color w:val="0000FF"/>
      <w:u w:val="single"/>
    </w:rPr>
  </w:style>
  <w:style w:type="character" w:customStyle="1" w:styleId="Nessuno">
    <w:name w:val="Nessuno"/>
    <w:rsid w:val="005711A5"/>
    <w:rPr>
      <w:lang w:val="it-IT"/>
    </w:rPr>
  </w:style>
  <w:style w:type="paragraph" w:styleId="Intestazione">
    <w:name w:val="header"/>
    <w:basedOn w:val="Normale"/>
    <w:link w:val="IntestazioneCarattere"/>
    <w:uiPriority w:val="99"/>
    <w:unhideWhenUsed/>
    <w:rsid w:val="005711A5"/>
    <w:pPr>
      <w:tabs>
        <w:tab w:val="center" w:pos="4819"/>
        <w:tab w:val="right" w:pos="9638"/>
      </w:tabs>
    </w:pPr>
  </w:style>
  <w:style w:type="character" w:customStyle="1" w:styleId="IntestazioneCarattere">
    <w:name w:val="Intestazione Carattere"/>
    <w:basedOn w:val="Carpredefinitoparagrafo"/>
    <w:link w:val="Intestazione"/>
    <w:uiPriority w:val="99"/>
    <w:rsid w:val="005711A5"/>
  </w:style>
  <w:style w:type="paragraph" w:styleId="Pidipagina">
    <w:name w:val="footer"/>
    <w:basedOn w:val="Normale"/>
    <w:link w:val="PidipaginaCarattere"/>
    <w:unhideWhenUsed/>
    <w:rsid w:val="005711A5"/>
    <w:pPr>
      <w:tabs>
        <w:tab w:val="center" w:pos="4819"/>
        <w:tab w:val="right" w:pos="9638"/>
      </w:tabs>
    </w:pPr>
  </w:style>
  <w:style w:type="character" w:customStyle="1" w:styleId="PidipaginaCarattere">
    <w:name w:val="Piè di pagina Carattere"/>
    <w:basedOn w:val="Carpredefinitoparagrafo"/>
    <w:link w:val="Pidipagina"/>
    <w:uiPriority w:val="99"/>
    <w:rsid w:val="005711A5"/>
  </w:style>
  <w:style w:type="character" w:styleId="Enfasigrassetto">
    <w:name w:val="Strong"/>
    <w:basedOn w:val="Carpredefinitoparagrafo"/>
    <w:uiPriority w:val="22"/>
    <w:qFormat/>
    <w:rsid w:val="00AA3B76"/>
    <w:rPr>
      <w:b/>
      <w:bCs/>
    </w:rPr>
  </w:style>
  <w:style w:type="character" w:customStyle="1" w:styleId="elementor-icon-list-text">
    <w:name w:val="elementor-icon-list-text"/>
    <w:basedOn w:val="Carpredefinitoparagrafo"/>
    <w:rsid w:val="00AE52E4"/>
  </w:style>
  <w:style w:type="paragraph" w:styleId="Corpotesto">
    <w:name w:val="Body Text"/>
    <w:link w:val="CorpotestoCarattere"/>
    <w:rsid w:val="00374209"/>
    <w:pPr>
      <w:widowControl w:val="0"/>
      <w:pBdr>
        <w:top w:val="nil"/>
        <w:left w:val="nil"/>
        <w:bottom w:val="nil"/>
        <w:right w:val="nil"/>
        <w:between w:val="nil"/>
        <w:bar w:val="nil"/>
      </w:pBdr>
    </w:pPr>
    <w:rPr>
      <w:rFonts w:ascii="Calibri" w:eastAsia="Calibri" w:hAnsi="Calibri" w:cs="Calibri"/>
      <w:color w:val="000000"/>
      <w:sz w:val="24"/>
      <w:szCs w:val="24"/>
      <w:u w:color="000000"/>
      <w:bdr w:val="nil"/>
      <w:lang w:val="it-IT"/>
    </w:rPr>
  </w:style>
  <w:style w:type="character" w:customStyle="1" w:styleId="CorpotestoCarattere">
    <w:name w:val="Corpo testo Carattere"/>
    <w:basedOn w:val="Carpredefinitoparagrafo"/>
    <w:link w:val="Corpotesto"/>
    <w:rsid w:val="00374209"/>
    <w:rPr>
      <w:rFonts w:ascii="Calibri" w:eastAsia="Calibri" w:hAnsi="Calibri" w:cs="Calibri"/>
      <w:color w:val="000000"/>
      <w:sz w:val="24"/>
      <w:szCs w:val="24"/>
      <w:u w:color="000000"/>
      <w:bdr w:val="nil"/>
      <w:lang w:val="it-IT"/>
    </w:rPr>
  </w:style>
  <w:style w:type="character" w:customStyle="1" w:styleId="Hyperlink0">
    <w:name w:val="Hyperlink.0"/>
    <w:basedOn w:val="Nessuno"/>
    <w:rsid w:val="00374209"/>
    <w:rPr>
      <w:rFonts w:ascii="Arial" w:eastAsia="Arial" w:hAnsi="Arial" w:cs="Arial"/>
      <w:color w:val="0000FF"/>
      <w:sz w:val="18"/>
      <w:szCs w:val="18"/>
      <w:u w:val="single" w:color="0000FF"/>
      <w:lang w:val="it-IT"/>
    </w:rPr>
  </w:style>
  <w:style w:type="table" w:styleId="Grigliatabella">
    <w:name w:val="Table Grid"/>
    <w:basedOn w:val="Tabellanormale"/>
    <w:uiPriority w:val="39"/>
    <w:rsid w:val="00985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preformattato">
    <w:name w:val="Testo preformattato"/>
    <w:basedOn w:val="Normale"/>
    <w:rsid w:val="00D165A4"/>
    <w:pPr>
      <w:widowControl w:val="0"/>
      <w:suppressAutoHyphens/>
    </w:pPr>
    <w:rPr>
      <w:rFonts w:ascii="Courier New" w:eastAsia="NSimSun" w:hAnsi="Courier New" w:cs="Courier New"/>
      <w:kern w:val="1"/>
      <w:lang w:val="it-IT" w:eastAsia="ar-SA"/>
    </w:rPr>
  </w:style>
  <w:style w:type="paragraph" w:styleId="Paragrafoelenco">
    <w:name w:val="List Paragraph"/>
    <w:basedOn w:val="Normale"/>
    <w:uiPriority w:val="1"/>
    <w:qFormat/>
    <w:rsid w:val="000450FE"/>
    <w:pPr>
      <w:ind w:left="720"/>
      <w:contextualSpacing/>
    </w:pPr>
  </w:style>
  <w:style w:type="paragraph" w:styleId="Testofumetto">
    <w:name w:val="Balloon Text"/>
    <w:basedOn w:val="Normale"/>
    <w:link w:val="TestofumettoCarattere"/>
    <w:uiPriority w:val="99"/>
    <w:semiHidden/>
    <w:unhideWhenUsed/>
    <w:rsid w:val="007447A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447A8"/>
    <w:rPr>
      <w:rFonts w:ascii="Segoe UI" w:hAnsi="Segoe UI" w:cs="Segoe UI"/>
      <w:sz w:val="18"/>
      <w:szCs w:val="18"/>
    </w:rPr>
  </w:style>
  <w:style w:type="table" w:customStyle="1" w:styleId="TableNormal0">
    <w:name w:val="Table Normal"/>
    <w:uiPriority w:val="2"/>
    <w:semiHidden/>
    <w:unhideWhenUsed/>
    <w:qFormat/>
    <w:rsid w:val="0043593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435930"/>
    <w:pPr>
      <w:widowControl w:val="0"/>
      <w:autoSpaceDE w:val="0"/>
      <w:autoSpaceDN w:val="0"/>
      <w:spacing w:before="30" w:line="249" w:lineRule="exact"/>
      <w:ind w:left="69"/>
    </w:pPr>
    <w:rPr>
      <w:rFonts w:ascii="Calibri" w:eastAsia="Calibri" w:hAnsi="Calibri" w:cs="Calibri"/>
      <w:sz w:val="22"/>
      <w:szCs w:val="22"/>
      <w:u w:val="single" w:color="000000"/>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usb.it/" TargetMode="External"/><Relationship Id="rId2" Type="http://schemas.openxmlformats.org/officeDocument/2006/relationships/hyperlink" Target="mailto:usbnazionale@pec.usb.it" TargetMode="External"/><Relationship Id="rId1" Type="http://schemas.openxmlformats.org/officeDocument/2006/relationships/hyperlink" Target="mailto:usb@usb.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4297</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Paola Grillo</dc:creator>
  <cp:lastModifiedBy>Paola Grillo</cp:lastModifiedBy>
  <cp:revision>2</cp:revision>
  <cp:lastPrinted>2025-10-01T18:09:00Z</cp:lastPrinted>
  <dcterms:created xsi:type="dcterms:W3CDTF">2025-10-02T09:42:00Z</dcterms:created>
  <dcterms:modified xsi:type="dcterms:W3CDTF">2025-10-02T09:42:00Z</dcterms:modified>
</cp:coreProperties>
</file>